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43" w:rsidRDefault="00850D69">
      <w:pPr>
        <w:rPr>
          <w:lang w:val="en-IN"/>
        </w:rPr>
      </w:pPr>
      <w:r w:rsidRPr="00850D69">
        <w:rPr>
          <w:noProof/>
          <w:lang w:val="en-GB" w:eastAsia="en-GB"/>
        </w:rPr>
        <w:drawing>
          <wp:anchor distT="0" distB="0" distL="114300" distR="114300" simplePos="0" relativeHeight="251659264" behindDoc="0" locked="0" layoutInCell="1" allowOverlap="1">
            <wp:simplePos x="0" y="0"/>
            <wp:positionH relativeFrom="margin">
              <wp:posOffset>1638300</wp:posOffset>
            </wp:positionH>
            <wp:positionV relativeFrom="margin">
              <wp:posOffset>129540</wp:posOffset>
            </wp:positionV>
            <wp:extent cx="2247900" cy="742950"/>
            <wp:effectExtent l="19050" t="0" r="0" b="0"/>
            <wp:wrapSquare wrapText="bothSides"/>
            <wp:docPr id="5" name="Picture 2" descr="G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IL"/>
                    <pic:cNvPicPr>
                      <a:picLocks noChangeAspect="1" noChangeArrowheads="1"/>
                    </pic:cNvPicPr>
                  </pic:nvPicPr>
                  <pic:blipFill>
                    <a:blip r:embed="rId6" cstate="print"/>
                    <a:srcRect/>
                    <a:stretch>
                      <a:fillRect/>
                    </a:stretch>
                  </pic:blipFill>
                  <pic:spPr bwMode="auto">
                    <a:xfrm>
                      <a:off x="0" y="0"/>
                      <a:ext cx="2247900" cy="742950"/>
                    </a:xfrm>
                    <a:prstGeom prst="rect">
                      <a:avLst/>
                    </a:prstGeom>
                    <a:noFill/>
                    <a:ln w="9525">
                      <a:noFill/>
                      <a:miter lim="800000"/>
                      <a:headEnd/>
                      <a:tailEnd/>
                    </a:ln>
                  </pic:spPr>
                </pic:pic>
              </a:graphicData>
            </a:graphic>
          </wp:anchor>
        </w:drawing>
      </w:r>
    </w:p>
    <w:p w:rsidR="00850D69" w:rsidRDefault="00850D69">
      <w:pPr>
        <w:rPr>
          <w:lang w:val="en-IN"/>
        </w:rPr>
      </w:pPr>
    </w:p>
    <w:p w:rsidR="00850D69" w:rsidRDefault="00850D69" w:rsidP="00850D69">
      <w:pPr>
        <w:rPr>
          <w:lang w:val="en-IN"/>
        </w:rPr>
      </w:pPr>
    </w:p>
    <w:p w:rsidR="00850D69" w:rsidRPr="00C93766" w:rsidRDefault="00850D69" w:rsidP="00850D69">
      <w:pPr>
        <w:pStyle w:val="Header"/>
        <w:ind w:left="-709" w:right="-329"/>
        <w:jc w:val="center"/>
        <w:rPr>
          <w:rFonts w:ascii="Times New Roman" w:hAnsi="Times New Roman" w:cs="Times New Roman"/>
          <w:b/>
          <w:sz w:val="20"/>
          <w:szCs w:val="20"/>
        </w:rPr>
      </w:pPr>
      <w:r>
        <w:rPr>
          <w:lang w:val="en-IN"/>
        </w:rPr>
        <w:tab/>
      </w:r>
      <w:r w:rsidRPr="00C93766">
        <w:rPr>
          <w:rFonts w:ascii="Times New Roman" w:hAnsi="Times New Roman" w:cs="Times New Roman"/>
          <w:b/>
          <w:sz w:val="20"/>
          <w:szCs w:val="20"/>
        </w:rPr>
        <w:t>Regd. Office &amp; Works: Plot No. 428/2, Phase I, Industrial Area, Siltara, Raipur – 493111, Chhattisgarh</w:t>
      </w:r>
    </w:p>
    <w:p w:rsidR="00850D69" w:rsidRPr="00C93766" w:rsidRDefault="00850D69" w:rsidP="00850D69">
      <w:pPr>
        <w:pStyle w:val="Header"/>
        <w:ind w:left="-709" w:right="-329"/>
        <w:jc w:val="center"/>
        <w:rPr>
          <w:rFonts w:ascii="Times New Roman" w:hAnsi="Times New Roman" w:cs="Times New Roman"/>
          <w:b/>
          <w:sz w:val="20"/>
          <w:szCs w:val="20"/>
        </w:rPr>
      </w:pPr>
      <w:r w:rsidRPr="00C93766">
        <w:rPr>
          <w:rFonts w:ascii="Times New Roman" w:hAnsi="Times New Roman" w:cs="Times New Roman"/>
          <w:b/>
          <w:sz w:val="20"/>
          <w:szCs w:val="20"/>
        </w:rPr>
        <w:t>Corporate Office: Hira Arcade, Near Bus Stand, Pandri, Raipur - 492004, Chhattisgarh</w:t>
      </w:r>
    </w:p>
    <w:p w:rsidR="00850D69" w:rsidRPr="00C93766" w:rsidRDefault="00850D69" w:rsidP="00850D69">
      <w:pPr>
        <w:pStyle w:val="Header"/>
        <w:ind w:left="-709" w:right="-329"/>
        <w:jc w:val="center"/>
        <w:rPr>
          <w:rFonts w:ascii="Times New Roman" w:hAnsi="Times New Roman" w:cs="Times New Roman"/>
          <w:b/>
          <w:sz w:val="20"/>
          <w:szCs w:val="20"/>
        </w:rPr>
      </w:pPr>
      <w:r w:rsidRPr="00C93766">
        <w:rPr>
          <w:rFonts w:ascii="Times New Roman" w:hAnsi="Times New Roman" w:cs="Times New Roman"/>
          <w:b/>
          <w:sz w:val="20"/>
          <w:szCs w:val="20"/>
        </w:rPr>
        <w:t xml:space="preserve">Web Site: </w:t>
      </w:r>
      <w:r w:rsidRPr="00C93766">
        <w:rPr>
          <w:rFonts w:ascii="Times New Roman" w:hAnsi="Times New Roman" w:cs="Times New Roman"/>
          <w:b/>
          <w:bCs/>
          <w:sz w:val="20"/>
          <w:szCs w:val="20"/>
        </w:rPr>
        <w:t>www.godawari</w:t>
      </w:r>
      <w:r w:rsidRPr="00C93766">
        <w:rPr>
          <w:rFonts w:ascii="Times New Roman" w:hAnsi="Times New Roman" w:cs="Times New Roman"/>
          <w:b/>
          <w:sz w:val="20"/>
          <w:szCs w:val="20"/>
        </w:rPr>
        <w:t xml:space="preserve">powerispat.com, Email Id: </w:t>
      </w:r>
      <w:r w:rsidRPr="00C93766">
        <w:rPr>
          <w:rFonts w:ascii="Times New Roman" w:hAnsi="Times New Roman" w:cs="Times New Roman"/>
          <w:b/>
          <w:bCs/>
          <w:sz w:val="20"/>
          <w:szCs w:val="20"/>
        </w:rPr>
        <w:t>yarra.rao@hiragroup.com</w:t>
      </w:r>
    </w:p>
    <w:p w:rsidR="00850D69" w:rsidRPr="00C93766" w:rsidRDefault="00850D69" w:rsidP="00850D69">
      <w:pPr>
        <w:pStyle w:val="Header"/>
        <w:ind w:left="-709" w:right="-329"/>
        <w:jc w:val="center"/>
        <w:rPr>
          <w:rFonts w:ascii="Times New Roman" w:hAnsi="Times New Roman" w:cs="Times New Roman"/>
          <w:b/>
          <w:sz w:val="20"/>
          <w:szCs w:val="20"/>
        </w:rPr>
      </w:pPr>
      <w:r w:rsidRPr="00C93766">
        <w:rPr>
          <w:rFonts w:ascii="Times New Roman" w:hAnsi="Times New Roman" w:cs="Times New Roman"/>
          <w:b/>
          <w:sz w:val="20"/>
          <w:szCs w:val="20"/>
        </w:rPr>
        <w:t>CIN: L27106CT1999PLC013756 Contact No.: 0771-4082000 Fax: 0771-4057601</w:t>
      </w:r>
    </w:p>
    <w:p w:rsidR="00850D69" w:rsidRPr="00850D69" w:rsidRDefault="00850D69" w:rsidP="00850D69">
      <w:pPr>
        <w:ind w:left="-284" w:right="-682"/>
        <w:jc w:val="center"/>
        <w:rPr>
          <w:rFonts w:ascii="Times New Roman" w:hAnsi="Times New Roman" w:cs="Times New Roman"/>
          <w:b/>
          <w:bCs/>
          <w:sz w:val="2"/>
          <w:szCs w:val="2"/>
        </w:rPr>
      </w:pPr>
    </w:p>
    <w:p w:rsidR="00850D69" w:rsidRDefault="00850D69" w:rsidP="00850D69">
      <w:pPr>
        <w:ind w:left="-284" w:right="-682"/>
        <w:jc w:val="center"/>
        <w:rPr>
          <w:rFonts w:ascii="Times New Roman" w:hAnsi="Times New Roman" w:cs="Times New Roman"/>
          <w:b/>
          <w:bCs/>
          <w:sz w:val="26"/>
          <w:szCs w:val="26"/>
        </w:rPr>
      </w:pPr>
      <w:r w:rsidRPr="00850D69">
        <w:rPr>
          <w:rFonts w:ascii="Times New Roman" w:hAnsi="Times New Roman" w:cs="Times New Roman"/>
          <w:b/>
          <w:bCs/>
          <w:sz w:val="26"/>
          <w:szCs w:val="26"/>
        </w:rPr>
        <w:t>DISCLOSURE UNDER REGULATION</w:t>
      </w:r>
      <w:r w:rsidR="00CB1732">
        <w:rPr>
          <w:rFonts w:ascii="Times New Roman" w:hAnsi="Times New Roman" w:cs="Times New Roman"/>
          <w:b/>
          <w:bCs/>
          <w:sz w:val="26"/>
          <w:szCs w:val="26"/>
        </w:rPr>
        <w:t xml:space="preserve"> </w:t>
      </w:r>
      <w:r w:rsidRPr="00850D69">
        <w:rPr>
          <w:rFonts w:ascii="Times New Roman" w:hAnsi="Times New Roman" w:cs="Times New Roman"/>
          <w:b/>
          <w:bCs/>
          <w:sz w:val="26"/>
          <w:szCs w:val="26"/>
        </w:rPr>
        <w:t>46 OF THE SEBI (LISTING OBLIGATION AND DISCLOSURE REQUIREMENTS) REGULATION 2015</w:t>
      </w:r>
    </w:p>
    <w:p w:rsidR="00850D69" w:rsidRPr="00850D69" w:rsidRDefault="00850D69" w:rsidP="00850D69">
      <w:pPr>
        <w:ind w:left="-284" w:right="-682"/>
        <w:jc w:val="center"/>
        <w:rPr>
          <w:rFonts w:ascii="Times New Roman" w:hAnsi="Times New Roman" w:cs="Times New Roman"/>
          <w:sz w:val="26"/>
          <w:szCs w:val="26"/>
        </w:rPr>
      </w:pPr>
      <w:r w:rsidRPr="00850D69">
        <w:rPr>
          <w:rFonts w:ascii="Times New Roman" w:hAnsi="Times New Roman" w:cs="Times New Roman"/>
          <w:sz w:val="26"/>
          <w:szCs w:val="26"/>
        </w:rPr>
        <w:t>The disclosure</w:t>
      </w:r>
      <w:r w:rsidR="00E106B5">
        <w:rPr>
          <w:rFonts w:ascii="Times New Roman" w:hAnsi="Times New Roman" w:cs="Times New Roman"/>
          <w:sz w:val="26"/>
          <w:szCs w:val="26"/>
        </w:rPr>
        <w:t>s</w:t>
      </w:r>
      <w:r w:rsidRPr="00850D69">
        <w:rPr>
          <w:rFonts w:ascii="Times New Roman" w:hAnsi="Times New Roman" w:cs="Times New Roman"/>
          <w:sz w:val="26"/>
          <w:szCs w:val="26"/>
        </w:rPr>
        <w:t xml:space="preserve"> can be </w:t>
      </w:r>
      <w:r w:rsidR="004955FA" w:rsidRPr="00850D69">
        <w:rPr>
          <w:rFonts w:ascii="Times New Roman" w:hAnsi="Times New Roman" w:cs="Times New Roman"/>
          <w:sz w:val="26"/>
          <w:szCs w:val="26"/>
        </w:rPr>
        <w:t>accesses</w:t>
      </w:r>
      <w:r>
        <w:rPr>
          <w:rFonts w:ascii="Times New Roman" w:hAnsi="Times New Roman" w:cs="Times New Roman"/>
          <w:sz w:val="26"/>
          <w:szCs w:val="26"/>
        </w:rPr>
        <w:t xml:space="preserve"> </w:t>
      </w:r>
      <w:r w:rsidR="00E106B5">
        <w:rPr>
          <w:rFonts w:ascii="Times New Roman" w:hAnsi="Times New Roman" w:cs="Times New Roman"/>
          <w:sz w:val="26"/>
          <w:szCs w:val="26"/>
        </w:rPr>
        <w:t>through web-</w:t>
      </w:r>
      <w:r w:rsidR="00E106B5" w:rsidRPr="00850D69">
        <w:rPr>
          <w:rFonts w:ascii="Times New Roman" w:hAnsi="Times New Roman" w:cs="Times New Roman"/>
          <w:sz w:val="26"/>
          <w:szCs w:val="26"/>
        </w:rPr>
        <w:t>lin</w:t>
      </w:r>
      <w:r w:rsidR="00E106B5">
        <w:rPr>
          <w:rFonts w:ascii="Times New Roman" w:hAnsi="Times New Roman" w:cs="Times New Roman"/>
          <w:sz w:val="26"/>
          <w:szCs w:val="26"/>
        </w:rPr>
        <w:t>ks</w:t>
      </w:r>
      <w:r w:rsidRPr="00850D69">
        <w:rPr>
          <w:rFonts w:ascii="Times New Roman" w:hAnsi="Times New Roman" w:cs="Times New Roman"/>
          <w:sz w:val="26"/>
          <w:szCs w:val="26"/>
        </w:rPr>
        <w:t xml:space="preserve"> are given below:</w:t>
      </w:r>
    </w:p>
    <w:tbl>
      <w:tblPr>
        <w:tblStyle w:val="TableGrid"/>
        <w:tblpPr w:leftFromText="180" w:rightFromText="180" w:vertAnchor="text" w:horzAnchor="margin" w:tblpX="-635" w:tblpY="783"/>
        <w:tblOverlap w:val="never"/>
        <w:tblW w:w="10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86"/>
      </w:tblGrid>
      <w:tr w:rsidR="00850D69" w:rsidRPr="00850D69" w:rsidTr="00850D69">
        <w:trPr>
          <w:trHeight w:val="144"/>
        </w:trPr>
        <w:tc>
          <w:tcPr>
            <w:tcW w:w="10186" w:type="dxa"/>
          </w:tcPr>
          <w:p w:rsidR="00850D69" w:rsidRPr="00850D69" w:rsidRDefault="00850D69" w:rsidP="00850D69">
            <w:pPr>
              <w:spacing w:line="360" w:lineRule="auto"/>
              <w:rPr>
                <w:rFonts w:ascii="Times New Roman" w:hAnsi="Times New Roman" w:cs="Times New Roman"/>
                <w:b/>
                <w:bCs/>
                <w:sz w:val="24"/>
                <w:szCs w:val="24"/>
              </w:rPr>
            </w:pPr>
            <w:r w:rsidRPr="00850D69">
              <w:rPr>
                <w:rFonts w:ascii="Times New Roman" w:hAnsi="Times New Roman" w:cs="Times New Roman"/>
                <w:b/>
                <w:bCs/>
                <w:sz w:val="24"/>
                <w:szCs w:val="24"/>
              </w:rPr>
              <w:t>Particulars as per SEBI (Listing Obligation and Disclosure Requirements) Regulation 2015</w:t>
            </w:r>
          </w:p>
        </w:tc>
      </w:tr>
      <w:tr w:rsidR="00850D69" w:rsidRPr="00E31DC3" w:rsidTr="00850D69">
        <w:trPr>
          <w:trHeight w:val="144"/>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(a) </w:t>
            </w:r>
            <w:hyperlink r:id="rId7" w:history="1">
              <w:r w:rsidRPr="00E31DC3">
                <w:rPr>
                  <w:rStyle w:val="Hyperlink"/>
                  <w:rFonts w:ascii="Times New Roman" w:hAnsi="Times New Roman" w:cs="Times New Roman"/>
                  <w:sz w:val="24"/>
                  <w:szCs w:val="24"/>
                </w:rPr>
                <w:t>Details of Business</w:t>
              </w:r>
            </w:hyperlink>
          </w:p>
        </w:tc>
      </w:tr>
      <w:tr w:rsidR="00850D69" w:rsidRPr="00E31DC3" w:rsidTr="00850D69">
        <w:trPr>
          <w:trHeight w:val="144"/>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(b) </w:t>
            </w:r>
            <w:hyperlink r:id="rId8" w:history="1">
              <w:r w:rsidRPr="00E31DC3">
                <w:rPr>
                  <w:rStyle w:val="Hyperlink"/>
                  <w:rFonts w:ascii="Times New Roman" w:hAnsi="Times New Roman" w:cs="Times New Roman"/>
                  <w:sz w:val="24"/>
                  <w:szCs w:val="24"/>
                </w:rPr>
                <w:t>Terms and appointment of Independent Directors</w:t>
              </w:r>
            </w:hyperlink>
          </w:p>
        </w:tc>
      </w:tr>
      <w:tr w:rsidR="00850D69" w:rsidRPr="00E31DC3" w:rsidTr="00850D69">
        <w:trPr>
          <w:trHeight w:val="144"/>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(c) </w:t>
            </w:r>
            <w:hyperlink r:id="rId9" w:history="1">
              <w:r w:rsidRPr="00E31DC3">
                <w:rPr>
                  <w:rStyle w:val="Hyperlink"/>
                  <w:rFonts w:ascii="Times New Roman" w:hAnsi="Times New Roman" w:cs="Times New Roman"/>
                  <w:sz w:val="24"/>
                  <w:szCs w:val="24"/>
                </w:rPr>
                <w:t>Composition of various committees of board of directors</w:t>
              </w:r>
            </w:hyperlink>
          </w:p>
        </w:tc>
      </w:tr>
      <w:tr w:rsidR="00850D69" w:rsidRPr="00E31DC3" w:rsidTr="00850D69">
        <w:trPr>
          <w:trHeight w:val="144"/>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(d) </w:t>
            </w:r>
            <w:hyperlink r:id="rId10" w:history="1">
              <w:r w:rsidRPr="00E31DC3">
                <w:rPr>
                  <w:rStyle w:val="Hyperlink"/>
                  <w:rFonts w:ascii="Times New Roman" w:hAnsi="Times New Roman" w:cs="Times New Roman"/>
                  <w:sz w:val="24"/>
                  <w:szCs w:val="24"/>
                </w:rPr>
                <w:t>Code of conduct of board of directors and senior management personnel</w:t>
              </w:r>
            </w:hyperlink>
          </w:p>
        </w:tc>
      </w:tr>
      <w:tr w:rsidR="00850D69" w:rsidRPr="00E31DC3" w:rsidTr="00850D69">
        <w:trPr>
          <w:trHeight w:val="144"/>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(e) </w:t>
            </w:r>
            <w:hyperlink r:id="rId11" w:history="1">
              <w:r w:rsidRPr="00E31DC3">
                <w:rPr>
                  <w:rStyle w:val="Hyperlink"/>
                  <w:rFonts w:ascii="Times New Roman" w:hAnsi="Times New Roman" w:cs="Times New Roman"/>
                  <w:sz w:val="24"/>
                  <w:szCs w:val="24"/>
                </w:rPr>
                <w:t>Details of establishment of vigil mechanism/ Whistle Blower policy</w:t>
              </w:r>
            </w:hyperlink>
          </w:p>
        </w:tc>
      </w:tr>
      <w:tr w:rsidR="00850D69" w:rsidRPr="00E31DC3" w:rsidTr="00850D69">
        <w:trPr>
          <w:trHeight w:val="144"/>
        </w:trPr>
        <w:tc>
          <w:tcPr>
            <w:tcW w:w="10186" w:type="dxa"/>
          </w:tcPr>
          <w:p w:rsidR="00850D69" w:rsidRPr="00E31DC3" w:rsidRDefault="00850D69" w:rsidP="00850D69">
            <w:pPr>
              <w:pStyle w:val="Default"/>
              <w:spacing w:line="360" w:lineRule="auto"/>
            </w:pPr>
            <w:r w:rsidRPr="00E31DC3">
              <w:t xml:space="preserve">(f) Criteria of making payment to non-executive directors, the same has been disclosed in annual report </w:t>
            </w:r>
          </w:p>
        </w:tc>
      </w:tr>
      <w:tr w:rsidR="00850D69" w:rsidRPr="00E31DC3" w:rsidTr="00850D69">
        <w:trPr>
          <w:trHeight w:val="357"/>
        </w:trPr>
        <w:tc>
          <w:tcPr>
            <w:tcW w:w="10186" w:type="dxa"/>
          </w:tcPr>
          <w:p w:rsidR="00850D69" w:rsidRPr="00E31DC3" w:rsidRDefault="00850D69" w:rsidP="00850D69">
            <w:pPr>
              <w:spacing w:line="360" w:lineRule="auto"/>
              <w:rPr>
                <w:rFonts w:ascii="Times New Roman" w:hAnsi="Times New Roman" w:cs="Times New Roman"/>
                <w:color w:val="000000"/>
                <w:sz w:val="24"/>
                <w:szCs w:val="24"/>
                <w:lang w:bidi="hi-IN"/>
              </w:rPr>
            </w:pPr>
            <w:r w:rsidRPr="00E31DC3">
              <w:rPr>
                <w:rFonts w:ascii="Times New Roman" w:hAnsi="Times New Roman" w:cs="Times New Roman"/>
                <w:sz w:val="24"/>
                <w:szCs w:val="24"/>
              </w:rPr>
              <w:t xml:space="preserve">(g) </w:t>
            </w:r>
            <w:hyperlink r:id="rId12" w:history="1">
              <w:r w:rsidRPr="00E31DC3">
                <w:rPr>
                  <w:rStyle w:val="Hyperlink"/>
                  <w:rFonts w:ascii="Times New Roman" w:hAnsi="Times New Roman" w:cs="Times New Roman"/>
                  <w:sz w:val="24"/>
                  <w:szCs w:val="24"/>
                  <w:lang w:bidi="hi-IN"/>
                </w:rPr>
                <w:t>policy on dealing with related party transactions</w:t>
              </w:r>
            </w:hyperlink>
            <w:r w:rsidRPr="00E31DC3">
              <w:rPr>
                <w:rFonts w:ascii="Times New Roman" w:hAnsi="Times New Roman" w:cs="Times New Roman"/>
                <w:color w:val="000000"/>
                <w:sz w:val="24"/>
                <w:szCs w:val="24"/>
                <w:lang w:bidi="hi-IN"/>
              </w:rPr>
              <w:t xml:space="preserve"> </w:t>
            </w:r>
          </w:p>
        </w:tc>
      </w:tr>
      <w:tr w:rsidR="00850D69" w:rsidRPr="00E31DC3" w:rsidTr="00850D69">
        <w:trPr>
          <w:trHeight w:val="263"/>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(h) </w:t>
            </w:r>
            <w:hyperlink r:id="rId13" w:history="1">
              <w:r w:rsidRPr="00E31DC3">
                <w:rPr>
                  <w:rStyle w:val="Hyperlink"/>
                  <w:rFonts w:ascii="Times New Roman" w:hAnsi="Times New Roman" w:cs="Times New Roman"/>
                  <w:sz w:val="24"/>
                  <w:szCs w:val="24"/>
                </w:rPr>
                <w:t>policy for determining ‘material’ subsidiaries</w:t>
              </w:r>
            </w:hyperlink>
            <w:r w:rsidRPr="00E31DC3">
              <w:rPr>
                <w:rFonts w:ascii="Times New Roman" w:hAnsi="Times New Roman" w:cs="Times New Roman"/>
                <w:sz w:val="24"/>
                <w:szCs w:val="24"/>
              </w:rPr>
              <w:t xml:space="preserve"> </w:t>
            </w:r>
          </w:p>
        </w:tc>
      </w:tr>
      <w:tr w:rsidR="00850D69" w:rsidRPr="00E31DC3" w:rsidTr="00850D69">
        <w:trPr>
          <w:trHeight w:val="1581"/>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(i) </w:t>
            </w:r>
            <w:hyperlink r:id="rId14" w:history="1">
              <w:r w:rsidRPr="00E31DC3">
                <w:rPr>
                  <w:rStyle w:val="Hyperlink"/>
                  <w:rFonts w:ascii="Times New Roman" w:hAnsi="Times New Roman" w:cs="Times New Roman"/>
                  <w:sz w:val="24"/>
                  <w:szCs w:val="24"/>
                </w:rPr>
                <w:t>Details of familiarization programmes imparted to independent directors including the following details</w:t>
              </w:r>
            </w:hyperlink>
            <w:r w:rsidRPr="00E31DC3">
              <w:rPr>
                <w:rFonts w:ascii="Times New Roman" w:hAnsi="Times New Roman" w:cs="Times New Roman"/>
                <w:sz w:val="24"/>
                <w:szCs w:val="24"/>
              </w:rPr>
              <w:t xml:space="preserve">:- </w:t>
            </w:r>
          </w:p>
          <w:p w:rsidR="00850D69" w:rsidRPr="00E31DC3" w:rsidRDefault="00850D69" w:rsidP="002C79A8">
            <w:pPr>
              <w:pStyle w:val="Default"/>
              <w:spacing w:line="360" w:lineRule="auto"/>
              <w:ind w:left="284"/>
            </w:pPr>
            <w:r w:rsidRPr="00E31DC3">
              <w:t xml:space="preserve">(i) </w:t>
            </w:r>
            <w:hyperlink r:id="rId15" w:history="1">
              <w:r w:rsidRPr="00E31DC3">
                <w:rPr>
                  <w:rStyle w:val="Hyperlink"/>
                </w:rPr>
                <w:t>number of programmes attended by independent directors (during the year and on a cumulative basis till date)</w:t>
              </w:r>
            </w:hyperlink>
            <w:r w:rsidRPr="00E31DC3">
              <w:t xml:space="preserve">, </w:t>
            </w:r>
          </w:p>
          <w:p w:rsidR="00850D69" w:rsidRPr="00E31DC3" w:rsidRDefault="00850D69" w:rsidP="002C79A8">
            <w:pPr>
              <w:pStyle w:val="Default"/>
              <w:spacing w:line="360" w:lineRule="auto"/>
              <w:ind w:left="284"/>
            </w:pPr>
            <w:r w:rsidRPr="00E31DC3">
              <w:t xml:space="preserve">(ii) </w:t>
            </w:r>
            <w:hyperlink r:id="rId16" w:history="1">
              <w:r w:rsidRPr="00E31DC3">
                <w:rPr>
                  <w:rStyle w:val="Hyperlink"/>
                </w:rPr>
                <w:t>number of hours spent by independent directors in such programmes (during the year and on cumulative basis till date), and</w:t>
              </w:r>
            </w:hyperlink>
            <w:r w:rsidRPr="00E31DC3">
              <w:t xml:space="preserve"> </w:t>
            </w:r>
          </w:p>
          <w:p w:rsidR="00850D69" w:rsidRPr="00E31DC3" w:rsidRDefault="00850D69" w:rsidP="002C79A8">
            <w:pPr>
              <w:pStyle w:val="Default"/>
              <w:spacing w:line="360" w:lineRule="auto"/>
              <w:ind w:left="284"/>
            </w:pPr>
            <w:r w:rsidRPr="00E31DC3">
              <w:t xml:space="preserve">(iii) </w:t>
            </w:r>
            <w:hyperlink r:id="rId17" w:history="1">
              <w:r w:rsidRPr="00E31DC3">
                <w:rPr>
                  <w:rStyle w:val="Hyperlink"/>
                </w:rPr>
                <w:t>other relevant details</w:t>
              </w:r>
            </w:hyperlink>
          </w:p>
        </w:tc>
      </w:tr>
      <w:tr w:rsidR="00850D69" w:rsidRPr="00E31DC3" w:rsidTr="00850D69">
        <w:trPr>
          <w:trHeight w:val="144"/>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(j) </w:t>
            </w:r>
            <w:hyperlink r:id="rId18" w:history="1">
              <w:r w:rsidRPr="00E31DC3">
                <w:rPr>
                  <w:rStyle w:val="Hyperlink"/>
                  <w:rFonts w:ascii="Times New Roman" w:hAnsi="Times New Roman" w:cs="Times New Roman"/>
                  <w:sz w:val="24"/>
                  <w:szCs w:val="24"/>
                </w:rPr>
                <w:t>the email address for grievance redressal and other relevant details</w:t>
              </w:r>
            </w:hyperlink>
            <w:r w:rsidRPr="00E31DC3">
              <w:rPr>
                <w:rFonts w:ascii="Times New Roman" w:hAnsi="Times New Roman" w:cs="Times New Roman"/>
                <w:sz w:val="24"/>
                <w:szCs w:val="24"/>
              </w:rPr>
              <w:t xml:space="preserve"> </w:t>
            </w:r>
          </w:p>
        </w:tc>
      </w:tr>
      <w:tr w:rsidR="00850D69" w:rsidRPr="00E31DC3" w:rsidTr="00850D69">
        <w:trPr>
          <w:trHeight w:val="645"/>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(k) </w:t>
            </w:r>
            <w:hyperlink r:id="rId19" w:history="1">
              <w:r w:rsidRPr="00E31DC3">
                <w:rPr>
                  <w:rStyle w:val="Hyperlink"/>
                  <w:rFonts w:ascii="Times New Roman" w:hAnsi="Times New Roman" w:cs="Times New Roman"/>
                  <w:sz w:val="24"/>
                  <w:szCs w:val="24"/>
                </w:rPr>
                <w:t>contact information of the designated officials of the listed entity who are responsible for assisting and handling investor grievances</w:t>
              </w:r>
            </w:hyperlink>
            <w:r w:rsidRPr="00E31DC3">
              <w:rPr>
                <w:rFonts w:ascii="Times New Roman" w:hAnsi="Times New Roman" w:cs="Times New Roman"/>
                <w:sz w:val="24"/>
                <w:szCs w:val="24"/>
              </w:rPr>
              <w:t xml:space="preserve">; </w:t>
            </w:r>
          </w:p>
        </w:tc>
      </w:tr>
      <w:tr w:rsidR="00850D69" w:rsidRPr="00E31DC3" w:rsidTr="00850D69">
        <w:trPr>
          <w:trHeight w:val="144"/>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(l) Financial information including: </w:t>
            </w:r>
          </w:p>
          <w:p w:rsidR="00850D69" w:rsidRPr="00E31DC3" w:rsidRDefault="00850D69" w:rsidP="002C79A8">
            <w:pPr>
              <w:pStyle w:val="Default"/>
              <w:spacing w:line="360" w:lineRule="auto"/>
              <w:ind w:left="284"/>
            </w:pPr>
            <w:r w:rsidRPr="00E31DC3">
              <w:t xml:space="preserve">(i) </w:t>
            </w:r>
            <w:hyperlink r:id="rId20" w:history="1">
              <w:r w:rsidRPr="00E31DC3">
                <w:rPr>
                  <w:rStyle w:val="Hyperlink"/>
                </w:rPr>
                <w:t>notice of meeting of the board of directors where financial results shall be discussed</w:t>
              </w:r>
            </w:hyperlink>
            <w:r w:rsidRPr="00E31DC3">
              <w:t xml:space="preserve">; </w:t>
            </w:r>
          </w:p>
          <w:p w:rsidR="00850D69" w:rsidRPr="00E31DC3" w:rsidRDefault="00850D69" w:rsidP="002C79A8">
            <w:pPr>
              <w:pStyle w:val="Default"/>
              <w:spacing w:line="360" w:lineRule="auto"/>
              <w:ind w:left="284"/>
            </w:pPr>
            <w:r w:rsidRPr="00E31DC3">
              <w:t xml:space="preserve">(ii) </w:t>
            </w:r>
            <w:hyperlink r:id="rId21" w:history="1">
              <w:r w:rsidRPr="00E31DC3">
                <w:rPr>
                  <w:rStyle w:val="Hyperlink"/>
                </w:rPr>
                <w:t>financial results, on conclusion of the meeting of the board of directors where the financial results were approved</w:t>
              </w:r>
            </w:hyperlink>
            <w:r w:rsidRPr="00E31DC3">
              <w:t xml:space="preserve">; </w:t>
            </w:r>
          </w:p>
          <w:p w:rsidR="00850D69" w:rsidRPr="00E31DC3" w:rsidRDefault="00850D69" w:rsidP="002C79A8">
            <w:pPr>
              <w:pStyle w:val="Default"/>
              <w:spacing w:line="360" w:lineRule="auto"/>
              <w:ind w:left="284"/>
            </w:pPr>
            <w:r w:rsidRPr="00E31DC3">
              <w:t xml:space="preserve">(iii) </w:t>
            </w:r>
            <w:hyperlink r:id="rId22" w:history="1">
              <w:r w:rsidRPr="00E31DC3">
                <w:rPr>
                  <w:rStyle w:val="Hyperlink"/>
                </w:rPr>
                <w:t>complete copy of the annual report including balance sheet, profit and loss account, directors report, corporate governance report etc</w:t>
              </w:r>
            </w:hyperlink>
            <w:r w:rsidRPr="00E31DC3">
              <w:t>;</w:t>
            </w:r>
          </w:p>
        </w:tc>
      </w:tr>
      <w:tr w:rsidR="00850D69" w:rsidRPr="00E31DC3" w:rsidTr="00850D69">
        <w:trPr>
          <w:trHeight w:val="403"/>
        </w:trPr>
        <w:tc>
          <w:tcPr>
            <w:tcW w:w="10186" w:type="dxa"/>
          </w:tcPr>
          <w:p w:rsidR="00850D69" w:rsidRPr="00E31DC3" w:rsidRDefault="00850D69" w:rsidP="00850D69">
            <w:pPr>
              <w:pStyle w:val="Default"/>
              <w:spacing w:line="360" w:lineRule="auto"/>
            </w:pPr>
            <w:r w:rsidRPr="00E31DC3">
              <w:lastRenderedPageBreak/>
              <w:t>(m)</w:t>
            </w:r>
            <w:hyperlink r:id="rId23" w:history="1">
              <w:r w:rsidRPr="00E31DC3">
                <w:rPr>
                  <w:rStyle w:val="Hyperlink"/>
                </w:rPr>
                <w:t xml:space="preserve"> shareholding pattern</w:t>
              </w:r>
            </w:hyperlink>
            <w:r w:rsidRPr="00E31DC3">
              <w:t xml:space="preserve"> </w:t>
            </w:r>
          </w:p>
        </w:tc>
      </w:tr>
      <w:tr w:rsidR="00850D69" w:rsidRPr="00E31DC3" w:rsidTr="00850D69">
        <w:trPr>
          <w:trHeight w:val="821"/>
        </w:trPr>
        <w:tc>
          <w:tcPr>
            <w:tcW w:w="10186" w:type="dxa"/>
          </w:tcPr>
          <w:p w:rsidR="00850D69" w:rsidRPr="00E31DC3" w:rsidRDefault="00850D69" w:rsidP="00850D69">
            <w:pPr>
              <w:pStyle w:val="Default"/>
              <w:spacing w:line="360" w:lineRule="auto"/>
            </w:pPr>
            <w:r w:rsidRPr="00E31DC3">
              <w:t>(n) details of agreements entered into with the media companies and/or their associates, etc-Not Applicable</w:t>
            </w:r>
          </w:p>
        </w:tc>
      </w:tr>
      <w:tr w:rsidR="00850D69" w:rsidRPr="00E31DC3" w:rsidTr="00850D69">
        <w:trPr>
          <w:trHeight w:val="4122"/>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(o) </w:t>
            </w:r>
            <w:hyperlink r:id="rId24" w:history="1">
              <w:r w:rsidRPr="00E31DC3">
                <w:rPr>
                  <w:rStyle w:val="Hyperlink"/>
                  <w:rFonts w:ascii="Times New Roman" w:hAnsi="Times New Roman" w:cs="Times New Roman"/>
                  <w:sz w:val="24"/>
                  <w:szCs w:val="24"/>
                </w:rPr>
                <w:t>Schedule of analysts or institutional investors meet</w:t>
              </w:r>
            </w:hyperlink>
            <w:r w:rsidRPr="00E31DC3">
              <w:rPr>
                <w:rFonts w:ascii="Times New Roman" w:hAnsi="Times New Roman" w:cs="Times New Roman"/>
                <w:sz w:val="24"/>
                <w:szCs w:val="24"/>
              </w:rPr>
              <w:t xml:space="preserve"> and </w:t>
            </w:r>
            <w:hyperlink r:id="rId25" w:history="1">
              <w:r w:rsidRPr="00E31DC3">
                <w:rPr>
                  <w:rStyle w:val="Hyperlink"/>
                  <w:rFonts w:ascii="Times New Roman" w:hAnsi="Times New Roman" w:cs="Times New Roman"/>
                  <w:sz w:val="24"/>
                  <w:szCs w:val="24"/>
                </w:rPr>
                <w:t>presentations made by the listed entity to analysts or institutional investors</w:t>
              </w:r>
            </w:hyperlink>
            <w:r w:rsidRPr="00E31DC3">
              <w:rPr>
                <w:rFonts w:ascii="Times New Roman" w:hAnsi="Times New Roman" w:cs="Times New Roman"/>
                <w:sz w:val="24"/>
                <w:szCs w:val="24"/>
              </w:rPr>
              <w:t xml:space="preserve">. </w:t>
            </w:r>
          </w:p>
          <w:p w:rsidR="00850D69" w:rsidRPr="00E31DC3" w:rsidRDefault="00850D69" w:rsidP="002C79A8">
            <w:pPr>
              <w:spacing w:line="360" w:lineRule="auto"/>
              <w:ind w:left="284"/>
              <w:rPr>
                <w:rFonts w:ascii="Times New Roman" w:hAnsi="Times New Roman" w:cs="Times New Roman"/>
                <w:sz w:val="24"/>
                <w:szCs w:val="24"/>
              </w:rPr>
            </w:pPr>
            <w:r w:rsidRPr="00E31DC3">
              <w:rPr>
                <w:rFonts w:ascii="Times New Roman" w:hAnsi="Times New Roman" w:cs="Times New Roman"/>
                <w:sz w:val="24"/>
                <w:szCs w:val="24"/>
              </w:rPr>
              <w:t xml:space="preserve">(oa) </w:t>
            </w:r>
            <w:hyperlink r:id="rId26" w:history="1">
              <w:r w:rsidRPr="00E31DC3">
                <w:rPr>
                  <w:rStyle w:val="Hyperlink"/>
                  <w:rFonts w:ascii="Times New Roman" w:hAnsi="Times New Roman" w:cs="Times New Roman"/>
                  <w:sz w:val="24"/>
                  <w:szCs w:val="24"/>
                </w:rPr>
                <w:t>Audio or video recordings</w:t>
              </w:r>
            </w:hyperlink>
            <w:r w:rsidRPr="00E31DC3">
              <w:rPr>
                <w:rFonts w:ascii="Times New Roman" w:hAnsi="Times New Roman" w:cs="Times New Roman"/>
                <w:sz w:val="24"/>
                <w:szCs w:val="24"/>
              </w:rPr>
              <w:t xml:space="preserve"> and </w:t>
            </w:r>
            <w:hyperlink r:id="rId27" w:history="1">
              <w:r w:rsidRPr="00E31DC3">
                <w:rPr>
                  <w:rStyle w:val="Hyperlink"/>
                  <w:rFonts w:ascii="Times New Roman" w:hAnsi="Times New Roman" w:cs="Times New Roman"/>
                  <w:sz w:val="24"/>
                  <w:szCs w:val="24"/>
                </w:rPr>
                <w:t>transcripts of post earnings/quarterly calls</w:t>
              </w:r>
            </w:hyperlink>
            <w:r w:rsidRPr="00E31DC3">
              <w:rPr>
                <w:rFonts w:ascii="Times New Roman" w:hAnsi="Times New Roman" w:cs="Times New Roman"/>
                <w:sz w:val="24"/>
                <w:szCs w:val="24"/>
              </w:rPr>
              <w:t>, by whatever name called, conducted physically or through digital means, simultaneously with submission to the recognized stock exchange(s), in the following manner:</w:t>
            </w:r>
          </w:p>
          <w:p w:rsidR="00850D69" w:rsidRPr="00E31DC3" w:rsidRDefault="00850D69" w:rsidP="002C79A8">
            <w:pPr>
              <w:pStyle w:val="Default"/>
              <w:spacing w:line="360" w:lineRule="auto"/>
              <w:ind w:left="284"/>
            </w:pPr>
            <w:r w:rsidRPr="00E31DC3">
              <w:t xml:space="preserve">(i) the presentation and the audio/video recordings shall be promptly made available on the website and in any case, before the next trading day or within twenty-four hours from the conclusion of such calls, whichever is earlier; </w:t>
            </w:r>
          </w:p>
          <w:p w:rsidR="00850D69" w:rsidRPr="00E31DC3" w:rsidRDefault="00850D69" w:rsidP="002C79A8">
            <w:pPr>
              <w:pStyle w:val="Default"/>
              <w:spacing w:line="360" w:lineRule="auto"/>
              <w:ind w:left="284"/>
            </w:pPr>
            <w:r w:rsidRPr="00E31DC3">
              <w:t xml:space="preserve">(ii) the transcripts of such calls shall be made available on the website within five working days of the conclusion of such calls: </w:t>
            </w:r>
          </w:p>
        </w:tc>
      </w:tr>
      <w:tr w:rsidR="00850D69" w:rsidRPr="00E31DC3" w:rsidTr="00850D69">
        <w:trPr>
          <w:trHeight w:val="836"/>
        </w:trPr>
        <w:tc>
          <w:tcPr>
            <w:tcW w:w="10186" w:type="dxa"/>
          </w:tcPr>
          <w:p w:rsidR="00850D69" w:rsidRPr="00E31DC3" w:rsidRDefault="00850D69" w:rsidP="00850D69">
            <w:pPr>
              <w:pStyle w:val="Default"/>
              <w:spacing w:line="360" w:lineRule="auto"/>
            </w:pPr>
            <w:r w:rsidRPr="00E31DC3">
              <w:t xml:space="preserve">(p) new name and the old name of the listed entity for a continuous period of one year, from the date of the last name change </w:t>
            </w:r>
          </w:p>
        </w:tc>
      </w:tr>
      <w:tr w:rsidR="00850D69" w:rsidRPr="00E31DC3" w:rsidTr="00850D69">
        <w:trPr>
          <w:trHeight w:val="1657"/>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(q) Items published in the Newspaper:</w:t>
            </w:r>
          </w:p>
          <w:p w:rsidR="00850D69" w:rsidRPr="00E31DC3" w:rsidRDefault="002C79A8" w:rsidP="002C79A8">
            <w:p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850D69" w:rsidRPr="00E31DC3">
              <w:rPr>
                <w:rFonts w:ascii="Times New Roman" w:hAnsi="Times New Roman" w:cs="Times New Roman"/>
                <w:sz w:val="24"/>
                <w:szCs w:val="24"/>
              </w:rPr>
              <w:t xml:space="preserve">(a) </w:t>
            </w:r>
            <w:hyperlink r:id="rId28" w:history="1">
              <w:r w:rsidR="00850D69" w:rsidRPr="00E31DC3">
                <w:rPr>
                  <w:rStyle w:val="Hyperlink"/>
                  <w:rFonts w:ascii="Times New Roman" w:hAnsi="Times New Roman" w:cs="Times New Roman"/>
                  <w:sz w:val="24"/>
                  <w:szCs w:val="24"/>
                </w:rPr>
                <w:t>financial results, as specified in regulation 33, along-with the modified opinion(s) or reservation(s), if any, expressed by the auditor</w:t>
              </w:r>
            </w:hyperlink>
            <w:r w:rsidR="00850D69" w:rsidRPr="00E31DC3">
              <w:rPr>
                <w:rFonts w:ascii="Times New Roman" w:hAnsi="Times New Roman" w:cs="Times New Roman"/>
                <w:sz w:val="24"/>
                <w:szCs w:val="24"/>
              </w:rPr>
              <w:t>:</w:t>
            </w:r>
          </w:p>
          <w:p w:rsidR="00850D69" w:rsidRPr="00E31DC3" w:rsidRDefault="002C79A8" w:rsidP="00850D6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50D69" w:rsidRPr="00E31DC3">
              <w:rPr>
                <w:rFonts w:ascii="Times New Roman" w:hAnsi="Times New Roman" w:cs="Times New Roman"/>
                <w:sz w:val="24"/>
                <w:szCs w:val="24"/>
              </w:rPr>
              <w:t xml:space="preserve">(b) </w:t>
            </w:r>
            <w:hyperlink r:id="rId29" w:history="1">
              <w:r w:rsidR="00850D69" w:rsidRPr="00E31DC3">
                <w:rPr>
                  <w:rStyle w:val="Hyperlink"/>
                  <w:rFonts w:ascii="Times New Roman" w:hAnsi="Times New Roman" w:cs="Times New Roman"/>
                  <w:sz w:val="24"/>
                  <w:szCs w:val="24"/>
                </w:rPr>
                <w:t>notices given to shareholders by advertisement</w:t>
              </w:r>
            </w:hyperlink>
            <w:r w:rsidR="00850D69" w:rsidRPr="00E31DC3">
              <w:rPr>
                <w:rFonts w:ascii="Times New Roman" w:hAnsi="Times New Roman" w:cs="Times New Roman"/>
                <w:sz w:val="24"/>
                <w:szCs w:val="24"/>
              </w:rPr>
              <w:t xml:space="preserve"> </w:t>
            </w:r>
          </w:p>
        </w:tc>
      </w:tr>
      <w:tr w:rsidR="00850D69" w:rsidRPr="00E31DC3" w:rsidTr="00850D69">
        <w:trPr>
          <w:trHeight w:val="821"/>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(r) </w:t>
            </w:r>
            <w:hyperlink r:id="rId30" w:history="1">
              <w:r w:rsidRPr="00E31DC3">
                <w:rPr>
                  <w:rStyle w:val="Hyperlink"/>
                  <w:rFonts w:ascii="Times New Roman" w:hAnsi="Times New Roman" w:cs="Times New Roman"/>
                  <w:sz w:val="24"/>
                  <w:szCs w:val="24"/>
                </w:rPr>
                <w:t>All credit ratings obtained by the entity for all its outstanding instruments, updated immediately as and when there is any revision in any of the  ratings</w:t>
              </w:r>
            </w:hyperlink>
          </w:p>
        </w:tc>
      </w:tr>
      <w:tr w:rsidR="00850D69" w:rsidRPr="00E31DC3" w:rsidTr="00850D69">
        <w:trPr>
          <w:trHeight w:val="1239"/>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(s) </w:t>
            </w:r>
            <w:hyperlink r:id="rId31" w:history="1">
              <w:r w:rsidRPr="00E31DC3">
                <w:rPr>
                  <w:rStyle w:val="Hyperlink"/>
                  <w:rFonts w:ascii="Times New Roman" w:hAnsi="Times New Roman" w:cs="Times New Roman"/>
                  <w:sz w:val="24"/>
                  <w:szCs w:val="24"/>
                </w:rPr>
                <w:t>separate audited financial statements of each subsidiary of the listed entity in respect of a relevant financial year, uploaded at least 21 days prior to the date of the annual general meeting which has been called to inter alia consider accounts of that financial year</w:t>
              </w:r>
            </w:hyperlink>
          </w:p>
        </w:tc>
      </w:tr>
      <w:tr w:rsidR="00850D69" w:rsidRPr="00E31DC3" w:rsidTr="00850D69">
        <w:trPr>
          <w:trHeight w:val="418"/>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(t) </w:t>
            </w:r>
            <w:hyperlink r:id="rId32" w:history="1">
              <w:r w:rsidRPr="00E31DC3">
                <w:rPr>
                  <w:rStyle w:val="Hyperlink"/>
                  <w:rFonts w:ascii="Times New Roman" w:hAnsi="Times New Roman" w:cs="Times New Roman"/>
                  <w:sz w:val="24"/>
                  <w:szCs w:val="24"/>
                </w:rPr>
                <w:t>secretarial compliance report</w:t>
              </w:r>
            </w:hyperlink>
          </w:p>
        </w:tc>
      </w:tr>
      <w:tr w:rsidR="00850D69" w:rsidRPr="00E31DC3" w:rsidTr="00850D69">
        <w:trPr>
          <w:trHeight w:val="403"/>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(u) </w:t>
            </w:r>
            <w:hyperlink r:id="rId33" w:history="1">
              <w:r w:rsidRPr="00E31DC3">
                <w:rPr>
                  <w:rStyle w:val="Hyperlink"/>
                  <w:rFonts w:ascii="Times New Roman" w:hAnsi="Times New Roman" w:cs="Times New Roman"/>
                  <w:sz w:val="24"/>
                  <w:szCs w:val="24"/>
                </w:rPr>
                <w:t>disclosure of the policy for determination of materiality of events or information</w:t>
              </w:r>
            </w:hyperlink>
          </w:p>
        </w:tc>
      </w:tr>
      <w:tr w:rsidR="00850D69" w:rsidRPr="00E31DC3" w:rsidTr="00850D69">
        <w:trPr>
          <w:trHeight w:val="1239"/>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(v) </w:t>
            </w:r>
            <w:hyperlink r:id="rId34" w:history="1">
              <w:r w:rsidRPr="00E31DC3">
                <w:rPr>
                  <w:rStyle w:val="Hyperlink"/>
                  <w:rFonts w:ascii="Times New Roman" w:hAnsi="Times New Roman" w:cs="Times New Roman"/>
                  <w:sz w:val="24"/>
                  <w:szCs w:val="24"/>
                </w:rPr>
                <w:t>disclosure of contact details of key managerial personnel who are authorized for the purpose of determining materiality of an event or information and for the purpose of making disclosures to stock exchange(s)</w:t>
              </w:r>
            </w:hyperlink>
          </w:p>
        </w:tc>
      </w:tr>
      <w:tr w:rsidR="00850D69" w:rsidRPr="00E31DC3" w:rsidTr="00850D69">
        <w:trPr>
          <w:trHeight w:val="821"/>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(w) </w:t>
            </w:r>
            <w:hyperlink r:id="rId35" w:history="1">
              <w:r w:rsidRPr="00E31DC3">
                <w:rPr>
                  <w:rStyle w:val="Hyperlink"/>
                  <w:rFonts w:ascii="Times New Roman" w:hAnsi="Times New Roman" w:cs="Times New Roman"/>
                  <w:sz w:val="24"/>
                  <w:szCs w:val="24"/>
                </w:rPr>
                <w:t>All such events or information which has been disclosed to stock exchange(s) under regulation 30 of (LODR)</w:t>
              </w:r>
            </w:hyperlink>
          </w:p>
        </w:tc>
      </w:tr>
      <w:tr w:rsidR="00850D69" w:rsidRPr="00E31DC3" w:rsidTr="00850D69">
        <w:trPr>
          <w:trHeight w:val="418"/>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(x) Statement of deviation(s) or variation(s)</w:t>
            </w:r>
            <w:r w:rsidR="002C79A8">
              <w:rPr>
                <w:rFonts w:ascii="Times New Roman" w:hAnsi="Times New Roman" w:cs="Times New Roman"/>
                <w:sz w:val="24"/>
                <w:szCs w:val="24"/>
              </w:rPr>
              <w:t xml:space="preserve"> – Not Applicable</w:t>
            </w:r>
          </w:p>
        </w:tc>
      </w:tr>
      <w:tr w:rsidR="00850D69" w:rsidRPr="00E31DC3" w:rsidTr="00850D69">
        <w:trPr>
          <w:trHeight w:val="418"/>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(y) </w:t>
            </w:r>
            <w:hyperlink r:id="rId36" w:history="1">
              <w:r w:rsidRPr="00E31DC3">
                <w:rPr>
                  <w:rStyle w:val="Hyperlink"/>
                  <w:rFonts w:ascii="Times New Roman" w:hAnsi="Times New Roman" w:cs="Times New Roman"/>
                  <w:sz w:val="24"/>
                  <w:szCs w:val="24"/>
                </w:rPr>
                <w:t>Dividend distribution policy by listed entities based on market capitalization</w:t>
              </w:r>
            </w:hyperlink>
          </w:p>
        </w:tc>
      </w:tr>
      <w:tr w:rsidR="00850D69" w:rsidRPr="00E31DC3" w:rsidTr="00850D69">
        <w:trPr>
          <w:trHeight w:val="418"/>
        </w:trPr>
        <w:tc>
          <w:tcPr>
            <w:tcW w:w="10186" w:type="dxa"/>
          </w:tcPr>
          <w:p w:rsidR="00850D69" w:rsidRPr="00E31DC3" w:rsidRDefault="00850D69" w:rsidP="00850D69">
            <w:pPr>
              <w:spacing w:line="360" w:lineRule="auto"/>
              <w:rPr>
                <w:rFonts w:ascii="Times New Roman" w:hAnsi="Times New Roman" w:cs="Times New Roman"/>
                <w:sz w:val="24"/>
                <w:szCs w:val="24"/>
              </w:rPr>
            </w:pPr>
            <w:r w:rsidRPr="00E31DC3">
              <w:rPr>
                <w:rFonts w:ascii="Times New Roman" w:hAnsi="Times New Roman" w:cs="Times New Roman"/>
                <w:sz w:val="24"/>
                <w:szCs w:val="24"/>
              </w:rPr>
              <w:t xml:space="preserve">(z) </w:t>
            </w:r>
            <w:hyperlink r:id="rId37" w:history="1">
              <w:r w:rsidRPr="00E31DC3">
                <w:rPr>
                  <w:rStyle w:val="Hyperlink"/>
                  <w:rFonts w:ascii="Times New Roman" w:hAnsi="Times New Roman" w:cs="Times New Roman"/>
                  <w:sz w:val="24"/>
                  <w:szCs w:val="24"/>
                </w:rPr>
                <w:t>Annual return as provided under section 92 of the Companies Act, 2013 and the rules made thereunder</w:t>
              </w:r>
            </w:hyperlink>
          </w:p>
        </w:tc>
      </w:tr>
    </w:tbl>
    <w:p w:rsidR="00850D69" w:rsidRPr="00850D69" w:rsidRDefault="00850D69" w:rsidP="00850D69">
      <w:pPr>
        <w:tabs>
          <w:tab w:val="left" w:pos="7830"/>
        </w:tabs>
        <w:rPr>
          <w:lang w:val="en-IN"/>
        </w:rPr>
      </w:pPr>
    </w:p>
    <w:sectPr w:rsidR="00850D69" w:rsidRPr="00850D69" w:rsidSect="00850D69">
      <w:pgSz w:w="11907" w:h="16839" w:code="9"/>
      <w:pgMar w:top="426"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42C" w:rsidRDefault="0092642C" w:rsidP="00850D69">
      <w:pPr>
        <w:spacing w:after="0" w:line="240" w:lineRule="auto"/>
      </w:pPr>
      <w:r>
        <w:separator/>
      </w:r>
    </w:p>
  </w:endnote>
  <w:endnote w:type="continuationSeparator" w:id="0">
    <w:p w:rsidR="0092642C" w:rsidRDefault="0092642C" w:rsidP="00850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42C" w:rsidRDefault="0092642C" w:rsidP="00850D69">
      <w:pPr>
        <w:spacing w:after="0" w:line="240" w:lineRule="auto"/>
      </w:pPr>
      <w:r>
        <w:separator/>
      </w:r>
    </w:p>
  </w:footnote>
  <w:footnote w:type="continuationSeparator" w:id="0">
    <w:p w:rsidR="0092642C" w:rsidRDefault="0092642C" w:rsidP="00850D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0D69"/>
    <w:rsid w:val="000013D2"/>
    <w:rsid w:val="00154C09"/>
    <w:rsid w:val="001E4F3D"/>
    <w:rsid w:val="002C79A8"/>
    <w:rsid w:val="00433F3C"/>
    <w:rsid w:val="004955FA"/>
    <w:rsid w:val="006E6947"/>
    <w:rsid w:val="00850D69"/>
    <w:rsid w:val="0092642C"/>
    <w:rsid w:val="00AE7E43"/>
    <w:rsid w:val="00CB1732"/>
    <w:rsid w:val="00DA2092"/>
    <w:rsid w:val="00E106B5"/>
    <w:rsid w:val="00E55B0E"/>
    <w:rsid w:val="00EA61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D69"/>
  </w:style>
  <w:style w:type="paragraph" w:styleId="Footer">
    <w:name w:val="footer"/>
    <w:basedOn w:val="Normal"/>
    <w:link w:val="FooterChar"/>
    <w:uiPriority w:val="99"/>
    <w:semiHidden/>
    <w:unhideWhenUsed/>
    <w:rsid w:val="00850D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0D69"/>
  </w:style>
  <w:style w:type="table" w:styleId="TableGrid">
    <w:name w:val="Table Grid"/>
    <w:basedOn w:val="TableNormal"/>
    <w:uiPriority w:val="59"/>
    <w:rsid w:val="00850D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50D69"/>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styleId="Hyperlink">
    <w:name w:val="Hyperlink"/>
    <w:basedOn w:val="DefaultParagraphFont"/>
    <w:uiPriority w:val="99"/>
    <w:unhideWhenUsed/>
    <w:rsid w:val="00850D69"/>
    <w:rPr>
      <w:color w:val="0000FF" w:themeColor="hyperlink"/>
      <w:u w:val="single"/>
    </w:rPr>
  </w:style>
  <w:style w:type="paragraph" w:styleId="NoSpacing">
    <w:name w:val="No Spacing"/>
    <w:uiPriority w:val="1"/>
    <w:qFormat/>
    <w:rsid w:val="00850D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dawaripowerispat.com/performance/shareholders/notices/" TargetMode="External"/><Relationship Id="rId13" Type="http://schemas.openxmlformats.org/officeDocument/2006/relationships/hyperlink" Target="http://godawaripowerispat.com/wp-content/uploads/2022/02/Policy-for-Determining-Material-Subsidiaries-1.pdf" TargetMode="External"/><Relationship Id="rId18" Type="http://schemas.openxmlformats.org/officeDocument/2006/relationships/hyperlink" Target="http://godawaripowerispat.com/reach-us/" TargetMode="External"/><Relationship Id="rId26" Type="http://schemas.openxmlformats.org/officeDocument/2006/relationships/hyperlink" Target="http://godawaripowerispat.com/con-call-q4fy22-audio-recording-30-05-2022-2/"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godawaripowerispat.com/investors-information/quarterly-reports/" TargetMode="External"/><Relationship Id="rId34" Type="http://schemas.openxmlformats.org/officeDocument/2006/relationships/hyperlink" Target="http://godawaripowerispat.com/wp-content/uploads/2016/02/Policy-for-Determination-of-Materiality.pdf" TargetMode="External"/><Relationship Id="rId7" Type="http://schemas.openxmlformats.org/officeDocument/2006/relationships/hyperlink" Target="http://godawaripowerispat.com/about/godawari-power-ispat-limited/" TargetMode="External"/><Relationship Id="rId12" Type="http://schemas.openxmlformats.org/officeDocument/2006/relationships/hyperlink" Target="http://godawaripowerispat.com/wp-content/uploads/2022/02/Policy-on-Materiality-Of-and-Dealing-with-Related-Parties.pdf" TargetMode="External"/><Relationship Id="rId17" Type="http://schemas.openxmlformats.org/officeDocument/2006/relationships/hyperlink" Target="http://godawaripowerispat.com/familiarization-programme/" TargetMode="External"/><Relationship Id="rId25" Type="http://schemas.openxmlformats.org/officeDocument/2006/relationships/hyperlink" Target="http://godawaripowerispat.com/investors-information/investoranalyst-presentation/" TargetMode="External"/><Relationship Id="rId33" Type="http://schemas.openxmlformats.org/officeDocument/2006/relationships/hyperlink" Target="http://godawaripowerispat.com/investors-information/policies/"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godawaripowerispat.com/familiarization-programme/" TargetMode="External"/><Relationship Id="rId20" Type="http://schemas.openxmlformats.org/officeDocument/2006/relationships/hyperlink" Target="http://godawaripowerispat.com/performance/shareholders/notices/" TargetMode="External"/><Relationship Id="rId29" Type="http://schemas.openxmlformats.org/officeDocument/2006/relationships/hyperlink" Target="http://godawaripowerispat.com/performance/shareholders/notice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godawaripowerispat.com/wp-content/uploads/2014/11/GPIL-NOTIFICATION-FOR-WHISTLE-BLOWER-POLICY.pdf" TargetMode="External"/><Relationship Id="rId24" Type="http://schemas.openxmlformats.org/officeDocument/2006/relationships/hyperlink" Target="http://godawaripowerispat.com/performance/shareholders/notices/" TargetMode="External"/><Relationship Id="rId32" Type="http://schemas.openxmlformats.org/officeDocument/2006/relationships/hyperlink" Target="http://godawaripowerispat.com/performance/shareholders/annual-secretarial-compliance-report/" TargetMode="External"/><Relationship Id="rId37" Type="http://schemas.openxmlformats.org/officeDocument/2006/relationships/hyperlink" Target="http://godawaripowerispat.com/performance/shareholders/annual-return/" TargetMode="External"/><Relationship Id="rId5" Type="http://schemas.openxmlformats.org/officeDocument/2006/relationships/endnotes" Target="endnotes.xml"/><Relationship Id="rId15" Type="http://schemas.openxmlformats.org/officeDocument/2006/relationships/hyperlink" Target="http://godawaripowerispat.com/familiarization-programme/" TargetMode="External"/><Relationship Id="rId23" Type="http://schemas.openxmlformats.org/officeDocument/2006/relationships/hyperlink" Target="http://godawaripowerispat.com/performance/shareholders/shareholding-patterns/" TargetMode="External"/><Relationship Id="rId28" Type="http://schemas.openxmlformats.org/officeDocument/2006/relationships/hyperlink" Target="http://godawaripowerispat.com/performance/shareholders/notices/" TargetMode="External"/><Relationship Id="rId36" Type="http://schemas.openxmlformats.org/officeDocument/2006/relationships/hyperlink" Target="http://godawaripowerispat.com/wp-content/uploads/2022/02/Dividend-Distribution-Policy.pdf" TargetMode="External"/><Relationship Id="rId10" Type="http://schemas.openxmlformats.org/officeDocument/2006/relationships/hyperlink" Target="http://godawaripowerispat.com/wp-content/uploads/2015/02/Code-of-Conduct-for-Directors-and-Senior-Management-and-Employees.pdf" TargetMode="External"/><Relationship Id="rId19" Type="http://schemas.openxmlformats.org/officeDocument/2006/relationships/hyperlink" Target="http://godawaripowerispat.com/reach-us/" TargetMode="External"/><Relationship Id="rId31" Type="http://schemas.openxmlformats.org/officeDocument/2006/relationships/hyperlink" Target="http://godawaripowerispat.com/investors-information/annual-reports-for-subsidiary-companies/" TargetMode="External"/><Relationship Id="rId4" Type="http://schemas.openxmlformats.org/officeDocument/2006/relationships/footnotes" Target="footnotes.xml"/><Relationship Id="rId9" Type="http://schemas.openxmlformats.org/officeDocument/2006/relationships/hyperlink" Target="http://godawaripowerispat.com/about/board-of-directors/" TargetMode="External"/><Relationship Id="rId14" Type="http://schemas.openxmlformats.org/officeDocument/2006/relationships/hyperlink" Target="http://godawaripowerispat.com/familiarization-programme/" TargetMode="External"/><Relationship Id="rId22" Type="http://schemas.openxmlformats.org/officeDocument/2006/relationships/hyperlink" Target="http://godawaripowerispat.com/investors-information/annual-reports/" TargetMode="External"/><Relationship Id="rId27" Type="http://schemas.openxmlformats.org/officeDocument/2006/relationships/hyperlink" Target="http://godawaripowerispat.com/performance/shareholders/notices/" TargetMode="External"/><Relationship Id="rId30" Type="http://schemas.openxmlformats.org/officeDocument/2006/relationships/hyperlink" Target="http://godawaripowerispat.com/performance/shareholders/notices/" TargetMode="External"/><Relationship Id="rId35" Type="http://schemas.openxmlformats.org/officeDocument/2006/relationships/hyperlink" Target="http://godawaripowerispat.com/performance/shareholders/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2022-08-30T10:31:00Z</dcterms:created>
  <dcterms:modified xsi:type="dcterms:W3CDTF">2022-08-30T11:21:00Z</dcterms:modified>
</cp:coreProperties>
</file>